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2E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28DBF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35AE9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电容器的电容</w:t>
      </w:r>
    </w:p>
    <w:p w14:paraId="0208F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电容器的电容</w:t>
      </w:r>
    </w:p>
    <w:p w14:paraId="13FC39F7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1DA1D9E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电容器</w:t>
      </w:r>
    </w:p>
    <w:p w14:paraId="63AC425B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组成：由两个彼此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又相互靠近的导体组成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4594703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带电荷量：一个极板所带电荷量的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69E83B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电容器的充、放电</w:t>
      </w:r>
    </w:p>
    <w:p w14:paraId="54D2E1D2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充电：使电容器带电的过程，充电后电容器两极板带上等量的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，电容器中储存电场能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5794DF3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放电：使充电后的电容器失去电荷的过程，放电过程中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转化为其他形式的能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F805FC1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E41DE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电容</w:t>
      </w:r>
    </w:p>
    <w:p w14:paraId="263A849D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定义：电容器所带的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与电容器两极板间的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1"/>
          <w:szCs w:val="21"/>
        </w:rPr>
        <w:t>之比，叫作电容器的电容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用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表示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D501335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A761C64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单位：法拉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（F）</w:t>
      </w:r>
      <w:r>
        <w:rPr>
          <w:rFonts w:ascii="Times New Roman" w:hAnsi="Times New Roman" w:cs="Times New Roman"/>
          <w:sz w:val="21"/>
          <w:szCs w:val="21"/>
        </w:rPr>
        <w:t>、微法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μF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、皮法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pF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  <w:r>
        <w:rPr>
          <w:rFonts w:ascii="Times New Roman" w:hAnsi="Times New Roman" w:cs="Times New Roman"/>
          <w:sz w:val="21"/>
          <w:szCs w:val="21"/>
        </w:rPr>
        <w:t>1 F＝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color w:val="auto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μF＝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pF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2FD8729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意义：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描述电容器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本领的物理量。</w:t>
      </w:r>
    </w:p>
    <w:p w14:paraId="6E49C93D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决定因素：由电容器本身物理条件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大小、形状、极板相对位置及电介质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决定，与电容器是否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及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无关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7D2AF95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463C9E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平行板电容器的电容</w:t>
      </w:r>
    </w:p>
    <w:p w14:paraId="5842B731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决定因素：</w:t>
      </w:r>
      <w:r>
        <w:rPr>
          <w:rFonts w:hint="eastAsia" w:ascii="Times New Roman" w:hAnsi="Times New Roman" w:cs="Times New Roman"/>
          <w:sz w:val="21"/>
          <w:szCs w:val="21"/>
        </w:rPr>
        <w:t>平行板电容器的电容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与相对介电常数</w:t>
      </w:r>
      <w:r>
        <w:rPr>
          <w:rFonts w:hint="eastAsia" w:ascii="Times New Roman" w:hAnsi="Times New Roman" w:cs="Times New Roman"/>
          <w:position w:val="-10"/>
          <w:sz w:val="21"/>
          <w:szCs w:val="21"/>
        </w:rPr>
        <w:object>
          <v:shape id="_x0000_i1026" o:spt="75" type="#_x0000_t75" style="height:17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</w:rPr>
        <w:t>成正比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跟正对面积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S</w:t>
      </w:r>
      <w:r>
        <w:rPr>
          <w:rFonts w:hint="eastAsia" w:ascii="Times New Roman" w:hAnsi="Times New Roman" w:cs="Times New Roman"/>
          <w:sz w:val="21"/>
          <w:szCs w:val="21"/>
        </w:rPr>
        <w:t>成正比，跟极板间的距离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</w:rPr>
        <w:t>成反比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67DEECF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 w:eastAsiaTheme="minorEastAsia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1388EC7C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5762D8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b/>
          <w:bCs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4.平行板电容器的动态分析</w:t>
      </w:r>
    </w:p>
    <w:p w14:paraId="6D5938B1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电容器始终与恒压电源相连，电容器两极板间的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i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622AFBD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i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i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再分析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5A91012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分析场强的变化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3D99CA4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U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·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分析某点电势变化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41C2DF1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213610" cy="453390"/>
            <wp:effectExtent l="0" t="0" r="15240" b="3810"/>
            <wp:docPr id="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82C62">
      <w:pPr>
        <w:pStyle w:val="2"/>
        <w:numPr>
          <w:ilvl w:val="0"/>
          <w:numId w:val="1"/>
        </w:numPr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电容器充电后与电源断开，电容器两极板所带的电荷量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A73883A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30" o:spt="75" type="#_x0000_t75" style="height:31pt;width:5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31" o:spt="75" type="#_x0000_t75" style="height:31pt;width:3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31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再分析</w:t>
      </w:r>
      <w:r>
        <w:rPr>
          <w:rFonts w:ascii="Times New Roman" w:hAnsi="Times New Roman" w:cs="Times New Roman"/>
          <w:i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3AD3534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\f(4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k</w:instrText>
      </w:r>
      <w:r>
        <w:rPr>
          <w:rFonts w:ascii="Times New Roman" w:hAnsi="Times New Roman" w:cs="Times New Roman"/>
          <w:sz w:val="21"/>
          <w:szCs w:val="21"/>
        </w:rPr>
        <w:instrText xml:space="preserve">π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Q,ε</w:instrText>
      </w:r>
      <w:r>
        <w:rPr>
          <w:rFonts w:ascii="Times New Roman" w:hAnsi="Times New Roman" w:cs="Times New Roman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S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分析场强变化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670EBA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788160" cy="708660"/>
            <wp:effectExtent l="0" t="0" r="2540" b="15240"/>
            <wp:docPr id="1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D508E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4E18D740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5.常见电容器</w:t>
      </w:r>
    </w:p>
    <w:p w14:paraId="46A4242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（1）常用的电容器，从构造上看，可以分为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两类。</w:t>
      </w:r>
    </w:p>
    <w:p w14:paraId="6A8D1C7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（2）电容器的额定电压和击穿电压</w:t>
      </w:r>
    </w:p>
    <w:p w14:paraId="772564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①额定电压（或称工作电压）：电容器能够长时间正常工作的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75C3F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②击穿电压：电介质被击穿时加在电容器两极板上的极限电压，若电压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这一限度，则电容器就会损坏。</w:t>
      </w:r>
    </w:p>
    <w:p w14:paraId="68C7B0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3C44C6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</w:t>
      </w:r>
    </w:p>
    <w:p w14:paraId="07B780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1.电容表示电容器容纳电荷的多少                                            （   ）</w:t>
      </w:r>
    </w:p>
    <w:p w14:paraId="06F7E9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1DCD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2.电容器的电容与电容器所带电荷量成正比，跟它两极板间所加电压成反比        （   ）</w:t>
      </w:r>
    </w:p>
    <w:p w14:paraId="586F1E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075F9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3.电容器所带的电荷量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是指一个极板所带电荷量的绝对值                      （   ）                     </w:t>
      </w:r>
    </w:p>
    <w:p w14:paraId="4C4AD0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51A4D3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77091E39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多选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平行板电容器的两极板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接于电池两极，一个带正电小球悬挂在电容器内部，闭合开关S，电容器充电，稳定后悬线偏离竖直方向夹角为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，如图所示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那么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22768F3B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140335</wp:posOffset>
            </wp:positionV>
            <wp:extent cx="1074420" cy="1003300"/>
            <wp:effectExtent l="0" t="0" r="11430" b="6350"/>
            <wp:wrapSquare wrapText="bothSides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4FE5F5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3DA82B14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2F4BF630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53B93BA6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3D87488D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4015EE55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0BC18F67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671F97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A．保持开关S闭合，带正电的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增大</w:t>
      </w:r>
    </w:p>
    <w:p w14:paraId="20DDEE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14:paraId="0AA3635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B．保持开关S闭合，带正电的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不变</w:t>
      </w:r>
    </w:p>
    <w:p w14:paraId="3EBA7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14:paraId="503982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C．开关S断开，带正电的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增大</w:t>
      </w:r>
    </w:p>
    <w:p w14:paraId="3C9005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14:paraId="621740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D．开关S断开，带正电的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不变</w:t>
      </w:r>
    </w:p>
    <w:p w14:paraId="093358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9E628"/>
    <w:multiLevelType w:val="singleLevel"/>
    <w:tmpl w:val="AEE9E62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FC02FE7"/>
    <w:rsid w:val="11B81FE1"/>
    <w:rsid w:val="33A309C5"/>
    <w:rsid w:val="3A062572"/>
    <w:rsid w:val="42B74272"/>
    <w:rsid w:val="44117EA6"/>
    <w:rsid w:val="459E23E7"/>
    <w:rsid w:val="4E0C15C5"/>
    <w:rsid w:val="50A878C1"/>
    <w:rsid w:val="55855303"/>
    <w:rsid w:val="586D5544"/>
    <w:rsid w:val="5B56564E"/>
    <w:rsid w:val="5DB03139"/>
    <w:rsid w:val="5F110489"/>
    <w:rsid w:val="62546789"/>
    <w:rsid w:val="62652744"/>
    <w:rsid w:val="6F83245B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1121</Words>
  <Characters>1161</Characters>
  <Lines>0</Lines>
  <Paragraphs>0</Paragraphs>
  <TotalTime>3</TotalTime>
  <ScaleCrop>false</ScaleCrop>
  <LinksUpToDate>false</LinksUpToDate>
  <CharactersWithSpaces>1307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